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303" w:type="dxa"/>
        <w:jc w:val="left"/>
        <w:tblInd w:w="43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1917"/>
        <w:gridCol w:w="7386"/>
      </w:tblGrid>
      <w:tr>
        <w:tblPrEx>
          <w:shd w:val="clear" w:color="auto" w:fill="cadfff"/>
        </w:tblPrEx>
        <w:trPr>
          <w:trHeight w:val="310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spacing w:line="360" w:lineRule="auto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</w:rPr>
              <w:t>Model</w:t>
            </w:r>
          </w:p>
        </w:tc>
        <w:tc>
          <w:tcPr>
            <w:tcW w:type="dxa" w:w="738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spacing w:line="360" w:lineRule="auto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</w:rPr>
              <w:t>Clarii mini</w:t>
            </w:r>
          </w:p>
        </w:tc>
      </w:tr>
      <w:tr>
        <w:tblPrEx>
          <w:shd w:val="clear" w:color="auto" w:fill="cadfff"/>
        </w:tblPrEx>
        <w:trPr>
          <w:trHeight w:val="4860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80"/>
              <w:bottom w:type="dxa" w:w="0"/>
              <w:right w:type="dxa" w:w="80"/>
            </w:tcMar>
            <w:vAlign w:val="top"/>
          </w:tcPr>
          <w:p/>
        </w:tc>
        <w:tc>
          <w:tcPr>
            <w:tcW w:type="dxa" w:w="738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2f1f1"/>
            <w:tcMar>
              <w:top w:type="dxa" w:w="0"/>
              <w:left w:type="dxa" w:w="80"/>
              <w:bottom w:type="dxa" w:w="0"/>
              <w:right w:type="dxa" w:w="80"/>
            </w:tcMar>
            <w:vAlign w:val="top"/>
          </w:tcPr>
          <w:p>
            <w:pPr>
              <w:spacing w:before="0" w:after="0"/>
              <w:ind w:left="0" w:right="0" w:firstLine="0"/>
              <w:jc w:val="center"/>
            </w:pPr>
            <w:r>
              <w:drawing xmlns:a="http://schemas.openxmlformats.org/drawingml/2006/main">
                <wp:inline distT="0" distB="0" distL="0" distR="0">
                  <wp:extent cx="4364823" cy="3086100"/>
                  <wp:effectExtent l="0" t="0" r="0" b="0"/>
                  <wp:docPr id="1073741825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Clarii mini_4 Colors.jpg"/>
                          <pic:cNvPicPr>
                            <a:picLocks noChangeAspect="0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rcRect l="0" t="0" r="0" b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4823" cy="3086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shd w:val="clear" w:color="auto" w:fill="cadfff"/>
        </w:tblPrEx>
        <w:trPr>
          <w:trHeight w:val="1677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"/>
              <w:spacing w:line="360" w:lineRule="auto"/>
            </w:pPr>
            <w:r>
              <w:rPr>
                <w:rFonts w:ascii="Helvetica Neue" w:hAnsi="Helvetica Neue"/>
                <w:sz w:val="22"/>
                <w:szCs w:val="22"/>
                <w:shd w:val="nil" w:color="auto" w:fill="auto"/>
                <w:rtl w:val="0"/>
                <w:lang w:val="en-US"/>
              </w:rPr>
              <w:t>Concept</w:t>
            </w:r>
          </w:p>
        </w:tc>
        <w:tc>
          <w:tcPr>
            <w:tcW w:type="dxa" w:w="738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"/>
              <w:spacing w:line="288" w:lineRule="auto"/>
            </w:pPr>
            <w:r>
              <w:rPr>
                <w:rFonts w:ascii="Helvetica Neue" w:hAnsi="Helvetica Neue"/>
                <w:rtl w:val="0"/>
                <w:lang w:val="en-US"/>
              </w:rPr>
              <w:t>Clarii mini is a new form of wind instrument created by Robkoo. With its intuitive design, audio technology, and realistic sounds, Clarii makes performing music easier than ever.</w:t>
            </w:r>
          </w:p>
          <w:p>
            <w:pPr>
              <w:pStyle w:val="Body A"/>
              <w:bidi w:val="0"/>
              <w:spacing w:line="288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 Neue" w:hAnsi="Helvetica Neue"/>
                <w:rtl w:val="0"/>
                <w:lang w:val="en-US"/>
              </w:rPr>
              <w:t>Breathe. Shake. Play. Clarii mini is yet another musical instrument from the future after the launch of the original Wind Synthesizer R1.</w:t>
            </w:r>
          </w:p>
        </w:tc>
      </w:tr>
      <w:tr>
        <w:tblPrEx>
          <w:shd w:val="clear" w:color="auto" w:fill="cadfff"/>
        </w:tblPrEx>
        <w:trPr>
          <w:trHeight w:val="310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Power supply</w:t>
            </w:r>
          </w:p>
        </w:tc>
        <w:tc>
          <w:tcPr>
            <w:tcW w:type="dxa" w:w="738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de-DE"/>
                <w14:textFill>
                  <w14:solidFill>
                    <w14:srgbClr w14:val="333333"/>
                  </w14:solidFill>
                </w14:textFill>
              </w:rPr>
              <w:t>USB (Type-C) 5V</w:t>
            </w: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zh-TW" w:eastAsia="zh-TW"/>
                <w14:textFill>
                  <w14:solidFill>
                    <w14:srgbClr w14:val="333333"/>
                  </w14:solidFill>
                </w14:textFill>
              </w:rPr>
              <w:t>⎓</w:t>
            </w: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zh-TW" w:eastAsia="zh-TW"/>
                <w14:textFill>
                  <w14:solidFill>
                    <w14:srgbClr w14:val="333333"/>
                  </w14:solidFill>
                </w14:textFill>
              </w:rPr>
              <w:t>1A</w:t>
            </w:r>
          </w:p>
        </w:tc>
      </w:tr>
      <w:tr>
        <w:tblPrEx>
          <w:shd w:val="clear" w:color="auto" w:fill="cadfff"/>
        </w:tblPrEx>
        <w:trPr>
          <w:trHeight w:val="310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Battery</w:t>
            </w:r>
          </w:p>
        </w:tc>
        <w:tc>
          <w:tcPr>
            <w:tcW w:type="dxa" w:w="738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Li-ion, 1200mAh</w:t>
            </w:r>
          </w:p>
        </w:tc>
      </w:tr>
      <w:tr>
        <w:tblPrEx>
          <w:shd w:val="clear" w:color="auto" w:fill="cadfff"/>
        </w:tblPrEx>
        <w:trPr>
          <w:trHeight w:val="310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Current draw</w:t>
            </w:r>
          </w:p>
        </w:tc>
        <w:tc>
          <w:tcPr>
            <w:tcW w:type="dxa" w:w="738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zh-TW" w:eastAsia="zh-TW"/>
                <w14:textFill>
                  <w14:solidFill>
                    <w14:srgbClr w14:val="333333"/>
                  </w14:solidFill>
                </w14:textFill>
              </w:rPr>
              <w:t>1A</w:t>
            </w:r>
          </w:p>
        </w:tc>
      </w:tr>
      <w:tr>
        <w:tblPrEx>
          <w:shd w:val="clear" w:color="auto" w:fill="cadfff"/>
        </w:tblPrEx>
        <w:trPr>
          <w:trHeight w:val="310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it-IT"/>
                <w14:textFill>
                  <w14:solidFill>
                    <w14:srgbClr w14:val="333333"/>
                  </w14:solidFill>
                </w14:textFill>
              </w:rPr>
              <w:t>Sensor</w:t>
            </w:r>
          </w:p>
        </w:tc>
        <w:tc>
          <w:tcPr>
            <w:tcW w:type="dxa" w:w="738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Breath sensor,</w:t>
            </w:r>
            <w:r>
              <w:rPr>
                <w:outline w:val="0"/>
                <w:color w:val="333333"/>
                <w:sz w:val="24"/>
                <w:szCs w:val="24"/>
                <w:u w:color="333333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 xml:space="preserve"> </w:t>
            </w:r>
            <w:r>
              <w:rPr>
                <w:sz w:val="24"/>
                <w:szCs w:val="24"/>
                <w:rtl w:val="0"/>
                <w:lang w:val="it-IT"/>
              </w:rPr>
              <w:t>accelerometer</w:t>
            </w:r>
          </w:p>
        </w:tc>
      </w:tr>
      <w:tr>
        <w:tblPrEx>
          <w:shd w:val="clear" w:color="auto" w:fill="cadfff"/>
        </w:tblPrEx>
        <w:trPr>
          <w:trHeight w:val="288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rFonts w:ascii="Helvetica Neue" w:hAnsi="Helvetica Neue"/>
                <w:outline w:val="0"/>
                <w:color w:val="333333"/>
                <w:sz w:val="24"/>
                <w:szCs w:val="24"/>
                <w:u w:color="333333"/>
                <w:rtl w:val="0"/>
                <w14:textFill>
                  <w14:solidFill>
                    <w14:srgbClr w14:val="333333"/>
                  </w14:solidFill>
                </w14:textFill>
              </w:rPr>
              <w:t>Bluetooth</w:t>
            </w:r>
          </w:p>
        </w:tc>
        <w:tc>
          <w:tcPr>
            <w:tcW w:type="dxa" w:w="738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6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A2DP (Audio), GATT (MIDI over Bluetooth Low Energy)</w:t>
            </w:r>
          </w:p>
        </w:tc>
      </w:tr>
      <w:tr>
        <w:tblPrEx>
          <w:shd w:val="clear" w:color="auto" w:fill="cadfff"/>
        </w:tblPrEx>
        <w:trPr>
          <w:trHeight w:val="288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6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Ports</w:t>
            </w:r>
          </w:p>
        </w:tc>
        <w:tc>
          <w:tcPr>
            <w:tcW w:type="dxa" w:w="738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6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Stereo 1/8'' headphone jack, Type-C (for charging &amp; USB MIDI)</w:t>
            </w:r>
          </w:p>
        </w:tc>
      </w:tr>
      <w:tr>
        <w:tblPrEx>
          <w:shd w:val="clear" w:color="auto" w:fill="cadfff"/>
        </w:tblPrEx>
        <w:trPr>
          <w:trHeight w:val="775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it-IT"/>
                <w14:textFill>
                  <w14:solidFill>
                    <w14:srgbClr w14:val="333333"/>
                  </w14:solidFill>
                </w14:textFill>
              </w:rPr>
              <w:t>Accessories</w:t>
            </w:r>
          </w:p>
        </w:tc>
        <w:tc>
          <w:tcPr>
            <w:tcW w:type="dxa" w:w="738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288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Type-C cable, user</w:t>
            </w:r>
            <w:r>
              <w:rPr>
                <w:rFonts w:ascii="Arial Unicode MS" w:hAnsi="Arial Unicode MS" w:hint="default"/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1"/>
                <w14:textFill>
                  <w14:solidFill>
                    <w14:srgbClr w14:val="333333"/>
                  </w14:solidFill>
                </w14:textFill>
              </w:rPr>
              <w:t>’</w:t>
            </w: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s manual, Quickstart Guide, mouthpiece cap, dust bag</w:t>
            </w:r>
          </w:p>
        </w:tc>
      </w:tr>
      <w:tr>
        <w:tblPrEx>
          <w:shd w:val="clear" w:color="auto" w:fill="cadfff"/>
        </w:tblPrEx>
        <w:trPr>
          <w:trHeight w:val="288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zh-TW" w:eastAsia="zh-TW"/>
                <w14:textFill>
                  <w14:solidFill>
                    <w14:srgbClr w14:val="333333"/>
                  </w14:solidFill>
                </w14:textFill>
              </w:rPr>
              <w:t>Size</w:t>
            </w:r>
          </w:p>
        </w:tc>
        <w:tc>
          <w:tcPr>
            <w:tcW w:type="dxa" w:w="738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 xml:space="preserve">45.5cm (length) </w:t>
            </w: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 xml:space="preserve">× </w:t>
            </w: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 xml:space="preserve">4cm (width) </w:t>
            </w: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 xml:space="preserve">× </w:t>
            </w: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5cm (height)</w:t>
            </w:r>
          </w:p>
        </w:tc>
      </w:tr>
      <w:tr>
        <w:tblPrEx>
          <w:shd w:val="clear" w:color="auto" w:fill="cadfff"/>
        </w:tblPrEx>
        <w:trPr>
          <w:trHeight w:val="310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Weight</w:t>
            </w:r>
          </w:p>
        </w:tc>
        <w:tc>
          <w:tcPr>
            <w:tcW w:type="dxa" w:w="738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2</w:t>
            </w: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zh-CN" w:eastAsia="zh-CN"/>
                <w14:textFill>
                  <w14:solidFill>
                    <w14:srgbClr w14:val="333333"/>
                  </w14:solidFill>
                </w14:textFill>
              </w:rPr>
              <w:t>63</w:t>
            </w: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g</w:t>
            </w:r>
          </w:p>
        </w:tc>
      </w:tr>
      <w:tr>
        <w:tblPrEx>
          <w:shd w:val="clear" w:color="auto" w:fill="cadfff"/>
        </w:tblPrEx>
        <w:trPr>
          <w:trHeight w:val="310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"/>
              <w:spacing w:line="360" w:lineRule="auto"/>
            </w:pPr>
            <w:r>
              <w:rPr>
                <w:rFonts w:ascii="Helvetica Neue" w:hAnsi="Helvetica Neue"/>
                <w:rtl w:val="0"/>
                <w:lang w:val="en-US"/>
              </w:rPr>
              <w:t>Lead Time</w:t>
            </w:r>
          </w:p>
        </w:tc>
        <w:tc>
          <w:tcPr>
            <w:tcW w:type="dxa" w:w="738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"/>
              <w:spacing w:line="360" w:lineRule="auto"/>
            </w:pPr>
            <w:r>
              <w:rPr>
                <w:rFonts w:ascii="Helvetica Neue" w:hAnsi="Helvetica Neue"/>
                <w:rtl w:val="0"/>
                <w:lang w:val="en-US"/>
              </w:rPr>
              <w:t>5 weeks</w:t>
            </w:r>
          </w:p>
        </w:tc>
      </w:tr>
      <w:tr>
        <w:tblPrEx>
          <w:shd w:val="clear" w:color="auto" w:fill="cadfff"/>
        </w:tblPrEx>
        <w:trPr>
          <w:trHeight w:val="310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"/>
              <w:spacing w:line="360" w:lineRule="auto"/>
            </w:pPr>
            <w:r>
              <w:rPr>
                <w:rFonts w:ascii="Helvetica Neue" w:hAnsi="Helvetica Neue"/>
                <w:rtl w:val="0"/>
                <w:lang w:val="en-US"/>
              </w:rPr>
              <w:t>MOQ</w:t>
            </w:r>
          </w:p>
        </w:tc>
        <w:tc>
          <w:tcPr>
            <w:tcW w:type="dxa" w:w="738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"/>
              <w:spacing w:line="360" w:lineRule="auto"/>
            </w:pPr>
            <w:r>
              <w:rPr>
                <w:rFonts w:ascii="Helvetica Neue" w:hAnsi="Helvetica Neue"/>
                <w:rtl w:val="0"/>
                <w:lang w:val="en-US"/>
              </w:rPr>
              <w:t>1000 units</w:t>
            </w:r>
          </w:p>
        </w:tc>
      </w:tr>
    </w:tbl>
    <w:p>
      <w:pPr>
        <w:pStyle w:val="Body"/>
        <w:widowControl w:val="0"/>
        <w:ind w:left="324" w:hanging="324"/>
      </w:pPr>
      <w:r/>
    </w:p>
    <w:sectPr>
      <w:headerReference w:type="default" r:id="rId5"/>
      <w:footerReference w:type="default" r:id="rId6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Body A A">
    <w:name w:val="Body A A"/>
    <w:next w:val="Body A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